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2023 66 vom 19. September 2023</w:t>
      </w:r>
    </w:p>
    <w:p>
      <w:r>
        <w:t>GR Gerichte, 2023-09-19, DE</w:t>
      </w:r>
    </w:p>
    <w:p>
      <w:r>
        <w:rPr>
          <w:b/>
        </w:rPr>
        <w:t xml:space="preserve">Quelle: </w:t>
      </w:r>
      <w:r>
        <w:t>https://mcp.opencaselaw.ch/entscheid/gr_gerichte_KSK 2023 66</w:t>
      </w:r>
    </w:p>
    <w:p>
      <w:r>
        <w:t>FR: GR_GERICHTE KSK 2023 66 du 19 septembre 2023</w:t>
      </w:r>
    </w:p>
    <w:p>
      <w:r>
        <w:t>IT: GR_GERICHTE KSK 2023 66 del 19 settembre 2023</w:t>
      </w:r>
    </w:p>
    <w:p>
      <w:pPr>
        <w:pStyle w:val="Heading2"/>
      </w:pPr>
      <w:r>
        <w:t>Regeste</w:t>
      </w:r>
    </w:p>
    <w:p>
      <w:r>
        <w:t>Berechnung Existenzminimum | Aufsicht Beschwerde (SchKG 17 Abs. 1)</w:t>
      </w:r>
    </w:p>
    <w:p>
      <w:pPr>
        <w:pStyle w:val="Heading2"/>
      </w:pPr>
      <w:r>
        <w:t>Erwägungen</w:t>
      </w:r>
    </w:p>
    <w:p>
      <w:r>
        <w:rPr>
          <w:b/>
        </w:rPr>
        <w:t>E. 1</w:t>
      </w:r>
    </w:p>
    <w:p>
      <w:r>
        <w:t>Gegen Verfügungen von Betreibungsämtern, gegen die keine gerichtliche Klage vorgesehen ist, kann gemäss Art. 17 Abs. 1 SchKG bei der Aufsichtsbehör- de wegen Gesetzesverletzung oder Unangemessenheit Beschwerde geführt wer- den. Gemäss kantonalem Recht ist das Kantonsgericht einzige kantonale Auf- sichtsbehörde und zugleich Beschwerdeinstanz gemäss Art. 17 Abs. 1 SchKG (Art. 13 SchKG i.V.m. Art. 13 EGzSchKG [BR 320.100]). Zuständig ist die Schuld- betreibungs- und Konkurskammer (Art. 8 Abs. 1 KGV [BR 173.100]). 2.1. Beschwerdeobjekt im Sinne von Art. 17 Abs. 1 SchKG ist eine Verfügung. Darunter ist jede behördliche Handlung in einem konkreten zwangsvollstreckungs- rechtlichen Verfahren zu verstehen, die in Ausübung amtlicher Funktionen auf Grund des SchKG und dessen Ausführungsbestimmungen erlassen worden ist, die fragliche Zwangsvollstreckung in rechtlicher Hinsicht beeinflusst, Aussenwir- kung zeitigt und bezweckt, das Zwangsvollstreckungsverfahren voranzutreiben oder abzuschliessen (BGE 142 III 643 E. 3.1 = Pra 2017 Nr. 96; 142 III 425 E. 3.3; 129 III 400 E. 1.1). Die Beschwerde muss einem aktuellen praktischen Verfah- renszweck dienen. Gemäss der Rechtsprechung ist sie nur zulässig, wenn der Beschwerdeführer damit im Falle einer Gutheissung eine vollstreckungsrechtlich wirksame Korrektur des gerügten Verfahrensfehlers erreichen kann (BGer 5A_554/2022 v. 26.1.2023 E. 5.1; 5A_837/2018 v. 15.5.2019 E. 3.1). Der Pfän- dungsvollzug und die Pfändungsurkunde können mit Beschwerde angefochten werden. Dabei kann unter anderem geltend gemacht werden, dass eine Einkom-</w:t>
      </w:r>
    </w:p>
    <w:p>
      <w:r>
        <w:rPr>
          <w:b/>
        </w:rPr>
        <w:t>E. 4</w:t>
      </w:r>
    </w:p>
    <w:p>
      <w:r>
        <w:t>/ 7 menspfändung übersetzt sei (KSK 22 25 v. 26.8.2022 E. 1.2; KSK 22 8 v. 2.5.2022 E. 1.2). 2.2. Die Eingabe vom 20. Juli 2023 (act. A.1) trägt die Überschrift "Beschwerde bezüglich der Auslegung meines Existenzminimums". Sinngemäss macht der Be- schwerdeführer eine unzutreffende Berechnung seines Existenzminimums gel- tend. Bei der Berechnung des Existenzminimums handelt es sich um ein zulässi- ges Anfechtungsobjekt einer betreibungsrechtlichen Beschwerde im Sinne von Art. 17 SchKG. 3.1. Das Beschwerdeverfahren richtet sich nach den in Art. 20a Abs. 2 Ziff. 1 bis</w:t>
      </w:r>
    </w:p>
    <w:p>
      <w:r>
        <w:rPr>
          <w:b/>
        </w:rPr>
        <w:t>E. 5</w:t>
      </w:r>
    </w:p>
    <w:p>
      <w:r>
        <w:t>/ 7 bereits am 11. April 2023 festgelegt (BA act. 4b) und am 14. April 2023 bestätigt (BA act. 10c). Dass der Beschwerdeführer davon schon vor der letzten Berech- nung am 30. Juni 2023 Kenntnis hatte, belegt etwa seine E-Mail an das Betrei- bungs- und Konkursamt Viamala vom 17. Juni 2023 (BA act. 27). Auf die Be- schwerde kann demnach infolge Fristversäumnis nicht eingetreten werden.</w:t>
      </w:r>
    </w:p>
    <w:p>
      <w:r>
        <w:rPr>
          <w:b/>
        </w:rPr>
        <w:t>E. 5.1</w:t>
      </w:r>
    </w:p>
    <w:p>
      <w:r>
        <w:t>Zu prüfen bleibt die Berechnung des Existenzminimums unter dem Blick- winkel der Nichtigkeit gemäss Art. 22 SchKG. Verstossen Verfügungen gegen Vorschriften, die im öffentlichen Interesse oder im Interesse von am Verfahren nicht beteiligten Personen erlassen worden sind, so sind sie nichtig. Unabhängig davon, ob Beschwerde geführt worden ist, stellen die Aufsichtsbehörden von Am- tes wegen die Nichtigkeit einer Verfügung fest. Das Verpassen der Beschwerde- frist schadet insoweit nicht (BGer 5A_11/2016 v. 26.4.2016 E. 3.1). Nach der Rechtsprechung des Bundesgerichts ist eine Lohnpfändung dann nichtig, wenn sie in das Existenzminimum des Schuldners krass ("atteinte flagrante") eingreift (BGE 114 III 78 E. 3; 110 III 30 E. 2; 97 III 7 E. 2; BGer 5A_880/2015 v. 6.11.2015 E. 3; 7B.229/2005 v. 20.3.2006 E. 6).</w:t>
      </w:r>
    </w:p>
    <w:p>
      <w:r>
        <w:rPr>
          <w:b/>
        </w:rPr>
        <w:t>E. 5.2</w:t>
      </w:r>
    </w:p>
    <w:p>
      <w:r>
        <w:t>Der Beschwerdeführer beanstandet den Betrag für die auswärtige Verpfle- gung, den das Betreibungs- und Konkursamt ausgehend von einer Hauptmahlzeit à CHF 9.00 pro Tag auf total CHF 200.00 pro Monat festlegte (BA act. 31a; act. A.3, S. 2). Der Beschwerdeführer bringt vor, er lebe in einem Hotel in D._____, wo das Leben allgemein teurer sei als in Graubünden, und verfüge dort über keine Kochmöglichkeit. Gemäss den Richtlinien für die Berechnung des be- treibungsrechtlichen Existenzminimums (Notbedarf) nach Art. 93 SchKG (KGer GR KSK 09 39 v. 18.8.2009) stünden ihm daher CHF 11.00 für jede Hauptmahl- zeit, mithin CHF 33.00 pro Tag zu (act. A.1 i.V.m. act. B.1). 5.3.1. Erwerbseinkommen kann soweit gepfändet werden, als es nach dem Er- messen des Betreibungsbeamten für den Schuldner und seine Familie nicht un- bedingt notwendig ist (Art. 93 Abs. 1 SchKG). Zu bestimmen ist der tatsächliche, objektive Notbedarf des Schuldners und seiner Familie, nicht etwa der standes- gemässe oder gar der gewohnte Bedarf. Nur so ist es möglich, sowohl den Inter- essen des Schuldners, wie des Gläubigers Rechnung zu tragen (BGE 119 III 70 E. 3b; BGer 5A_157/2022 v. 14.11.2022 E. 3.1.1). 5.3.2. Laut den Richtlinien für die Berechnung des betreibungsrechtlichen Exis- tenzminimums (Notbedarf) nach Art. 93 SchKG sind im Grundbetrag die Verpfle- gungskosten grundsätzlich bereits enthalten. Mehrkosten für auswärtige Verpfle- gung sind zusätzlich in das Existenzminimum aufzunehmen, wenn die auswärtige</w:t>
      </w:r>
    </w:p>
    <w:p>
      <w:r>
        <w:rPr>
          <w:b/>
        </w:rPr>
        <w:t>E. 5.4</w:t>
      </w:r>
    </w:p>
    <w:p>
      <w:r>
        <w:t>Der Beschwerdeführer verweist auf seine Wohnsituation im Hotel, ohne konkret darzulegen, welche Auslagen er für die auswärtige Verpflegung effektiv hat. Allein der Nachweis, dass das gemietete Hotelzimmer über keine Kochmög- lichkeit verfügt (vgl. act. B.5), genügt nicht. Auch in den Akten des Betreibungs- und Konkursamts finden sich keine Angaben dazu, in welcher konkreten Höhe der Beschwerdeführer tatsächlich Mehrkosten trägt. Solange der Beschwerdeführer keine Belege vorlegt, dass er mehr als CHF 9.00 pro Tag für auswärtige Verpfle- gung ausgibt, besteht zum Vornherein kein Anlass, gegen die vom Betreibungs- und Konkursamt vorgenommene Berechnung wegen Nichtigkeit einzuschreiten. Sollte sich der Beschwerdeführer über die tatsächliche Zahlung von zusätzlichen Kosten für die auswärtige Verpflegung ausweisen können, steht ihm die Möglich- keit offen, beim Betreibungs- und Konkursamt die Revision der Einkommenspfän- dung zu verlangen (Art. 93 Abs. 3 SchKG; BGE 121 III 20 E. 3).</w:t>
      </w:r>
    </w:p>
    <w:p>
      <w:r>
        <w:rPr>
          <w:b/>
        </w:rPr>
        <w:t>E. 6</w:t>
      </w:r>
    </w:p>
    <w:p>
      <w:r>
        <w:t>Gemäss Art. 20a Abs. 2 Ziff. 5 Satz 1 SchKG und Art. 61 Abs. 2 lit. a GebV ist das Beschwerdeverfahren vor der kantonalen Aufsichtsbehörde kostenlos.</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